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2061E6" w:rsidP="0062083F">
      <w:pPr>
        <w:ind w:left="-142"/>
        <w:jc w:val="center"/>
      </w:pPr>
      <w:r>
        <w:rPr>
          <w:caps/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3813030</wp:posOffset>
            </wp:positionH>
            <wp:positionV relativeFrom="paragraph">
              <wp:posOffset>45267</wp:posOffset>
            </wp:positionV>
            <wp:extent cx="1267650" cy="1550854"/>
            <wp:effectExtent l="19050" t="0" r="870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7650" cy="1550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Рассмотрена                                         Принята на заседании                   </w:t>
      </w:r>
      <w:r>
        <w:rPr>
          <w:sz w:val="20"/>
          <w:szCs w:val="20"/>
        </w:rPr>
        <w:t xml:space="preserve">           </w:t>
      </w:r>
      <w:r w:rsidRPr="00303D8B">
        <w:rPr>
          <w:sz w:val="20"/>
          <w:szCs w:val="20"/>
        </w:rPr>
        <w:t>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на заседании ШМО,                            педагогического совета,        </w:t>
      </w:r>
      <w:r>
        <w:rPr>
          <w:sz w:val="20"/>
          <w:szCs w:val="20"/>
        </w:rPr>
        <w:t xml:space="preserve">                 </w:t>
      </w:r>
      <w:r w:rsidRPr="00303D8B">
        <w:rPr>
          <w:sz w:val="20"/>
          <w:szCs w:val="20"/>
        </w:rPr>
        <w:t xml:space="preserve">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 w:rsidRPr="00303D8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протокол № 1 от 30</w:t>
      </w:r>
      <w:r w:rsidRPr="00303D8B">
        <w:rPr>
          <w:sz w:val="20"/>
          <w:szCs w:val="20"/>
        </w:rPr>
        <w:t>. 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№1 от 31</w:t>
      </w:r>
      <w:r w:rsidRPr="00303D8B">
        <w:rPr>
          <w:sz w:val="20"/>
          <w:szCs w:val="20"/>
        </w:rPr>
        <w:t>.08.20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</w:t>
      </w:r>
      <w:r>
        <w:rPr>
          <w:sz w:val="20"/>
          <w:szCs w:val="20"/>
        </w:rPr>
        <w:t xml:space="preserve">          </w:t>
      </w:r>
      <w:r w:rsidRPr="00303D8B">
        <w:rPr>
          <w:sz w:val="20"/>
          <w:szCs w:val="20"/>
        </w:rPr>
        <w:t xml:space="preserve"> _______</w:t>
      </w:r>
      <w:r>
        <w:rPr>
          <w:sz w:val="20"/>
          <w:szCs w:val="20"/>
        </w:rPr>
        <w:t xml:space="preserve">             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303D8B">
        <w:rPr>
          <w:sz w:val="20"/>
          <w:szCs w:val="20"/>
        </w:rPr>
        <w:t>приказ №</w:t>
      </w:r>
      <w:r>
        <w:rPr>
          <w:sz w:val="20"/>
          <w:szCs w:val="20"/>
        </w:rPr>
        <w:t xml:space="preserve"> 103   от  31.08.2023</w:t>
      </w:r>
      <w:r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E45B3">
        <w:rPr>
          <w:b/>
          <w:sz w:val="28"/>
          <w:szCs w:val="28"/>
        </w:rPr>
        <w:t>ГЕОМЕТРИИ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>Класс: 8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 w:rsidR="002E45B3">
        <w:rPr>
          <w:spacing w:val="-1"/>
          <w:szCs w:val="28"/>
        </w:rPr>
        <w:t>68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E45B3">
      <w:pPr>
        <w:ind w:firstLine="709"/>
        <w:jc w:val="both"/>
        <w:rPr>
          <w:b/>
          <w:color w:val="000000"/>
          <w:sz w:val="28"/>
        </w:rPr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Default="002A0444" w:rsidP="002E45B3">
      <w:pPr>
        <w:ind w:firstLine="709"/>
        <w:jc w:val="both"/>
        <w:rPr>
          <w:color w:val="000000"/>
          <w:sz w:val="28"/>
        </w:rPr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E45B3" w:rsidRPr="00EB5705" w:rsidRDefault="002E45B3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lastRenderedPageBreak/>
        <w:t>Самоорганизация:</w:t>
      </w:r>
    </w:p>
    <w:p w:rsidR="002A0444" w:rsidRPr="00EB5705" w:rsidRDefault="002A0444" w:rsidP="002E45B3">
      <w:pPr>
        <w:numPr>
          <w:ilvl w:val="0"/>
          <w:numId w:val="22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 xml:space="preserve">К концу обучения </w:t>
      </w:r>
      <w:r w:rsidRPr="0081338A">
        <w:rPr>
          <w:b/>
          <w:color w:val="000000"/>
          <w:sz w:val="28"/>
        </w:rPr>
        <w:t>в 8 классе</w:t>
      </w:r>
      <w:r>
        <w:rPr>
          <w:b/>
          <w:color w:val="000000"/>
          <w:sz w:val="28"/>
        </w:rPr>
        <w:t xml:space="preserve"> </w:t>
      </w:r>
      <w:r w:rsidRPr="0081338A">
        <w:rPr>
          <w:color w:val="000000"/>
          <w:sz w:val="28"/>
        </w:rPr>
        <w:t>обучающийся получит следующие предметные результаты: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E45B3" w:rsidRPr="0081338A" w:rsidRDefault="002E45B3" w:rsidP="002E45B3">
      <w:pPr>
        <w:ind w:firstLine="709"/>
        <w:jc w:val="both"/>
      </w:pPr>
      <w:r w:rsidRPr="0081338A">
        <w:rPr>
          <w:color w:val="000000"/>
          <w:sz w:val="28"/>
        </w:rPr>
        <w:t xml:space="preserve">Применять полученные знания на практике – строить математические модели для задач реальной жизни и проводить соответствующие вычисления </w:t>
      </w:r>
      <w:r w:rsidRPr="0081338A">
        <w:rPr>
          <w:color w:val="000000"/>
          <w:sz w:val="28"/>
        </w:rPr>
        <w:lastRenderedPageBreak/>
        <w:t>с применением подобия и тригонометрии (пользуясь, где необходимо, калькулятором).</w:t>
      </w:r>
    </w:p>
    <w:p w:rsidR="00B171AF" w:rsidRDefault="00B171A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E45B3" w:rsidRDefault="002E45B3" w:rsidP="002E45B3">
      <w:pPr>
        <w:ind w:firstLine="709"/>
        <w:jc w:val="center"/>
        <w:rPr>
          <w:b/>
          <w:sz w:val="28"/>
          <w:szCs w:val="28"/>
        </w:rPr>
      </w:pPr>
      <w:r w:rsidRPr="00842887">
        <w:rPr>
          <w:b/>
          <w:sz w:val="28"/>
          <w:szCs w:val="28"/>
        </w:rPr>
        <w:t>Содержание учебного предмета</w:t>
      </w:r>
    </w:p>
    <w:p w:rsidR="002E45B3" w:rsidRPr="00842887" w:rsidRDefault="002E45B3" w:rsidP="002E45B3">
      <w:pPr>
        <w:ind w:firstLine="709"/>
        <w:jc w:val="center"/>
        <w:rPr>
          <w:b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Геометрические фигуры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Ломаная. Многоугольник, его элементы и его свойства. Распознавание некоторых многоугольников. </w:t>
      </w:r>
      <w:r w:rsidRPr="00842887">
        <w:rPr>
          <w:bCs/>
          <w:sz w:val="28"/>
          <w:szCs w:val="28"/>
        </w:rPr>
        <w:t>В</w:t>
      </w:r>
      <w:r w:rsidRPr="00842887">
        <w:rPr>
          <w:sz w:val="28"/>
          <w:szCs w:val="28"/>
        </w:rPr>
        <w:t>ыпуклые и невыпуклые многоугольники. Сумма внешних углов выпуклого многоугольника.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Средняя линия треугольника. Четырехугольники. Сумма углов выпуклого четырехугольника. Параллелограмм, ромб, прямоугольник, квадрат, трапеция, равнобедренная трапеция, прямоугольная трапеция. Свойства и признаки параллелограмма, ромба, прямоугольника, квадрата. </w:t>
      </w:r>
      <w:r w:rsidRPr="00842887">
        <w:rPr>
          <w:iCs/>
          <w:sz w:val="28"/>
          <w:szCs w:val="28"/>
        </w:rPr>
        <w:t>Осевая симметрия геометрических фигур. Центральная симметрия геометрических фигур.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bCs/>
          <w:sz w:val="28"/>
          <w:szCs w:val="28"/>
        </w:rPr>
        <w:t>Окружность, круг, и</w:t>
      </w:r>
      <w:r w:rsidRPr="00842887">
        <w:rPr>
          <w:sz w:val="28"/>
          <w:szCs w:val="28"/>
        </w:rPr>
        <w:t xml:space="preserve">х элементы и свойства; центральные и вписанные углы. Касательная и секущая к окружности, их свойства. Вписанные и описанные окружности для треугольников, четырехугольников.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Решение задач на вычисление и доказательство с использованием свойств изученных фигур.</w:t>
      </w: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Отношения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Теорема Фалеса. </w:t>
      </w:r>
      <w:r w:rsidRPr="00842887">
        <w:rPr>
          <w:bCs/>
          <w:sz w:val="28"/>
          <w:szCs w:val="28"/>
        </w:rPr>
        <w:t xml:space="preserve">Четыре замечательных точки треугольника. Свойства биссектрисы и серединного перпендикуляра. </w:t>
      </w:r>
      <w:r w:rsidRPr="00842887">
        <w:rPr>
          <w:sz w:val="28"/>
          <w:szCs w:val="28"/>
        </w:rPr>
        <w:t>Пропорциональные отрезки, подобие фигур. Подобные треугольники. Признаки подобия. Взаимное расположение прямой и окружности, двух окружностей.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Решение задач на вычисление и доказательство с использованием свойств изученных фигур.</w:t>
      </w:r>
    </w:p>
    <w:p w:rsidR="002E45B3" w:rsidRPr="00842887" w:rsidRDefault="002E45B3" w:rsidP="002E45B3">
      <w:pPr>
        <w:pStyle w:val="a3"/>
        <w:ind w:left="0" w:firstLine="709"/>
        <w:contextualSpacing w:val="0"/>
        <w:jc w:val="both"/>
        <w:rPr>
          <w:iCs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Измерения и вычисления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ind w:left="0" w:firstLine="709"/>
        <w:contextualSpacing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Градусная мера дуги окружности. Значения синуса, косинуса и тангенса для углов 30°, 45°, 60°. Понятие о площади плоской фигуры и ее свойствах. Измерение площадей. Единицы измерения площади. Формулы площади треугольника, параллелограмма и его частных видов, трапеции. Сравнение и вычисление площадей. Теорема Пифагора. Тригонометрические функции острого угла в прямоугольном треугольнике. Решение задач на вычисление и доказательство с использованием свойств изученных фигур.</w:t>
      </w: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</w:p>
    <w:p w:rsidR="002E45B3" w:rsidRPr="00842887" w:rsidRDefault="002E45B3" w:rsidP="002E45B3">
      <w:pPr>
        <w:pStyle w:val="aa"/>
        <w:numPr>
          <w:ilvl w:val="0"/>
          <w:numId w:val="0"/>
        </w:numPr>
        <w:spacing w:after="0" w:line="240" w:lineRule="auto"/>
        <w:ind w:left="1440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842887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 xml:space="preserve">Геометрические преобразования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Понятие преобразования. Представление о </w:t>
      </w:r>
      <w:proofErr w:type="spellStart"/>
      <w:r w:rsidRPr="00842887">
        <w:rPr>
          <w:sz w:val="28"/>
          <w:szCs w:val="28"/>
        </w:rPr>
        <w:t>метапредметном</w:t>
      </w:r>
      <w:proofErr w:type="spellEnd"/>
      <w:r w:rsidRPr="00842887">
        <w:rPr>
          <w:sz w:val="28"/>
          <w:szCs w:val="28"/>
        </w:rPr>
        <w:t xml:space="preserve"> понятии «преобразование». Подобие. Практические приложения подобия треугольников. Подобие произвольных фигур. Решение практических задач с использованием свойств изученных фигур.</w:t>
      </w:r>
    </w:p>
    <w:p w:rsidR="002E45B3" w:rsidRPr="00842887" w:rsidRDefault="002E45B3" w:rsidP="002E45B3">
      <w:pPr>
        <w:pStyle w:val="a3"/>
        <w:jc w:val="both"/>
        <w:rPr>
          <w:b/>
          <w:bCs/>
          <w:sz w:val="28"/>
          <w:szCs w:val="28"/>
        </w:rPr>
      </w:pPr>
    </w:p>
    <w:p w:rsidR="002E45B3" w:rsidRPr="00842887" w:rsidRDefault="002E45B3" w:rsidP="002E45B3">
      <w:pPr>
        <w:pStyle w:val="3"/>
        <w:spacing w:before="0" w:line="240" w:lineRule="auto"/>
        <w:ind w:left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42887">
        <w:rPr>
          <w:rFonts w:ascii="Times New Roman" w:hAnsi="Times New Roman" w:cs="Times New Roman"/>
          <w:color w:val="auto"/>
          <w:sz w:val="28"/>
          <w:szCs w:val="28"/>
        </w:rPr>
        <w:t>История математики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История числа π. Золотое сечение. «Начала» Евклида. Л Эйлер, Н.И.Лобачевский. Р. Декарт, П. Ферма. Примеры различных систем координат.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 xml:space="preserve">От земледелия к геометрии. Пифагор и его школа. Фалес, Архимед. Платон и Аристотель. </w:t>
      </w:r>
    </w:p>
    <w:p w:rsidR="002E45B3" w:rsidRPr="00842887" w:rsidRDefault="002E45B3" w:rsidP="002E45B3">
      <w:pPr>
        <w:pStyle w:val="a3"/>
        <w:numPr>
          <w:ilvl w:val="0"/>
          <w:numId w:val="24"/>
        </w:numPr>
        <w:suppressAutoHyphens w:val="0"/>
        <w:jc w:val="both"/>
        <w:rPr>
          <w:sz w:val="28"/>
          <w:szCs w:val="28"/>
        </w:rPr>
      </w:pPr>
      <w:r w:rsidRPr="00842887">
        <w:rPr>
          <w:sz w:val="28"/>
          <w:szCs w:val="28"/>
        </w:rPr>
        <w:t>Геометрия и искусство. Геометрические закономерности окружающего мира. Софизмы, парадоксы.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567"/>
        <w:gridCol w:w="5104"/>
        <w:gridCol w:w="1134"/>
        <w:gridCol w:w="1276"/>
        <w:gridCol w:w="1842"/>
      </w:tblGrid>
      <w:tr w:rsidR="002E45B3" w:rsidRPr="00AD6B6C" w:rsidTr="00793973">
        <w:trPr>
          <w:trHeight w:val="895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№</w:t>
            </w:r>
          </w:p>
        </w:tc>
        <w:tc>
          <w:tcPr>
            <w:tcW w:w="510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Тема  урока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AD6B6C">
              <w:rPr>
                <w:sz w:val="28"/>
                <w:szCs w:val="28"/>
              </w:rPr>
              <w:t>во часов</w:t>
            </w:r>
          </w:p>
        </w:tc>
        <w:tc>
          <w:tcPr>
            <w:tcW w:w="1276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Урок вводного повторения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05.09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Урок вводного повторения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07.09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Многоугольник. Выпуклый многоугольник. Четырехугольник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12.09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Многоугольник. 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14.09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Параллелограмм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19.09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Признаки параллелограмма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21.09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Признаки параллелограмма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26.09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Трапеция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28.09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Теорема Фалеса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03.10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10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Задачи на построение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05.10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Прямоугольник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10.10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Ромб и квадрат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12.10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17.10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9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Осевая и центральная симметрия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19.10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24.10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C74FE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Понятие площади многоугольника Площадь квадрата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26.10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прямоугольника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07.11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параллелограмма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09.11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C74FE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19</w:t>
            </w:r>
          </w:p>
        </w:tc>
        <w:tc>
          <w:tcPr>
            <w:tcW w:w="5104" w:type="dxa"/>
            <w:noWrap/>
            <w:vAlign w:val="center"/>
            <w:hideMark/>
          </w:tcPr>
          <w:p w:rsidR="00C74FE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треугольника</w:t>
            </w:r>
          </w:p>
        </w:tc>
        <w:tc>
          <w:tcPr>
            <w:tcW w:w="1134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74FE3" w:rsidRDefault="00C74FE3" w:rsidP="00793973">
            <w:pPr>
              <w:ind w:left="135"/>
            </w:pPr>
            <w:r>
              <w:t>14.11</w:t>
            </w:r>
          </w:p>
        </w:tc>
        <w:tc>
          <w:tcPr>
            <w:tcW w:w="1842" w:type="dxa"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C74FE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20</w:t>
            </w:r>
          </w:p>
        </w:tc>
        <w:tc>
          <w:tcPr>
            <w:tcW w:w="5104" w:type="dxa"/>
            <w:noWrap/>
            <w:vAlign w:val="center"/>
            <w:hideMark/>
          </w:tcPr>
          <w:p w:rsidR="00C74FE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треугольника</w:t>
            </w:r>
          </w:p>
        </w:tc>
        <w:tc>
          <w:tcPr>
            <w:tcW w:w="1134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74FE3" w:rsidRDefault="00C74FE3" w:rsidP="00793973">
            <w:pPr>
              <w:ind w:left="135"/>
            </w:pPr>
            <w:r>
              <w:t>16.11</w:t>
            </w:r>
          </w:p>
        </w:tc>
        <w:tc>
          <w:tcPr>
            <w:tcW w:w="1842" w:type="dxa"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C74FE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21</w:t>
            </w:r>
          </w:p>
        </w:tc>
        <w:tc>
          <w:tcPr>
            <w:tcW w:w="5104" w:type="dxa"/>
            <w:noWrap/>
            <w:vAlign w:val="center"/>
            <w:hideMark/>
          </w:tcPr>
          <w:p w:rsidR="00C74FE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трапеции</w:t>
            </w:r>
          </w:p>
        </w:tc>
        <w:tc>
          <w:tcPr>
            <w:tcW w:w="1134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74FE3" w:rsidRDefault="00C74FE3" w:rsidP="00793973">
            <w:pPr>
              <w:ind w:left="135"/>
            </w:pPr>
            <w:r>
              <w:t>21.11</w:t>
            </w:r>
          </w:p>
        </w:tc>
        <w:tc>
          <w:tcPr>
            <w:tcW w:w="1842" w:type="dxa"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C74FE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22</w:t>
            </w:r>
          </w:p>
        </w:tc>
        <w:tc>
          <w:tcPr>
            <w:tcW w:w="5104" w:type="dxa"/>
            <w:noWrap/>
            <w:vAlign w:val="center"/>
            <w:hideMark/>
          </w:tcPr>
          <w:p w:rsidR="00C74FE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Площадь трапеции</w:t>
            </w:r>
          </w:p>
        </w:tc>
        <w:tc>
          <w:tcPr>
            <w:tcW w:w="1134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74FE3" w:rsidRDefault="00C74FE3" w:rsidP="00793973">
            <w:pPr>
              <w:ind w:left="135"/>
            </w:pPr>
            <w:r>
              <w:t>23.11</w:t>
            </w:r>
          </w:p>
        </w:tc>
        <w:tc>
          <w:tcPr>
            <w:tcW w:w="1842" w:type="dxa"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28.11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C74FE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30.11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Теорема Пифагора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05.12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Теорема, обратная теореме Пифагора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07.12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27</w:t>
            </w:r>
          </w:p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C74FE3">
            <w:pPr>
              <w:ind w:left="136"/>
            </w:pPr>
            <w:r w:rsidRPr="0081338A">
              <w:rPr>
                <w:color w:val="000000"/>
                <w:sz w:val="24"/>
              </w:rPr>
              <w:t>Решение задач по теме «Теорема Пифагора»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12.12</w:t>
            </w:r>
          </w:p>
          <w:p w:rsidR="002E45B3" w:rsidRDefault="002E45B3" w:rsidP="00793973">
            <w:pPr>
              <w:ind w:left="135"/>
            </w:pP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521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C74FE3">
            <w:pPr>
              <w:ind w:left="136"/>
            </w:pPr>
            <w:r>
              <w:rPr>
                <w:color w:val="000000"/>
                <w:sz w:val="24"/>
              </w:rPr>
              <w:t>Формула Герона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14.12</w:t>
            </w:r>
          </w:p>
        </w:tc>
        <w:tc>
          <w:tcPr>
            <w:tcW w:w="1842" w:type="dxa"/>
          </w:tcPr>
          <w:p w:rsidR="002E45B3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535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29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C74FE3">
            <w:pPr>
              <w:ind w:left="136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19.12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30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с элементами промежуточной аттестации по теме «Площадь»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21.12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Определение подобных треугольников Пропорциональные отрезки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26.12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 xml:space="preserve">Отношение площадей подобных </w:t>
            </w:r>
            <w:r>
              <w:rPr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28.12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Первый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09.01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Первый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11.01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Второй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16.01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Третий признак подобия 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18.01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Решение задач на применение признаков подобия треугольников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23.01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25.01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39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«Признаки подобия треугольников»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30.01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40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01.02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06.02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Пропорциональные отрезки в прямоугольном треугольнике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08.02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Метод подобия в задачах на построение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13.02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Измерительные работы на местности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15.02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20.02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Значения синуса, косинуса и тангенса для углов 30, 45, 60.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22.02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Значения синуса, косинуса и тангенса для углов 30, 45, 60.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27.02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23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29.02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49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темам «Применение подобия к доказательству теорем и решению задач. </w:t>
            </w:r>
            <w:r>
              <w:rPr>
                <w:color w:val="000000"/>
                <w:sz w:val="24"/>
              </w:rPr>
              <w:t>Соотношения между сторонами и углами прямоугольного треугольника»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05.03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50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Взаимное расположение прямой и окружности. </w:t>
            </w:r>
            <w:r>
              <w:rPr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07.03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Взаимное расположение двух окружностей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12.03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Общие касательные двух окружностей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14.03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Градусная мера дуги окружности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19.03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Теорема о вписанном угле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21.03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Углы, образованные хордами, касательными и секущими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02.04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Углы, образованные хордами, касательными и секущими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04.04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Свойства биссектрисы угла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09.04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79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Свойства серединного перпендикуляра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11.04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59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Теорема о пересечении высот треугольника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16.04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60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Вписанная окружность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18.04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61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Вписанная окружность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23.04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483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62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Описанная окружность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25.04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63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Описанная окружность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02.05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64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07.05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Default="002E45B3" w:rsidP="00793973">
            <w:pPr>
              <w:ind w:left="135"/>
            </w:pPr>
            <w:r>
              <w:rPr>
                <w:color w:val="000000"/>
                <w:sz w:val="24"/>
              </w:rPr>
              <w:t>Решение задач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14.05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66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с элементами промежуточной аттестации по теме «Окружность»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16.05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21.05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2E45B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2E45B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104" w:type="dxa"/>
            <w:noWrap/>
            <w:vAlign w:val="center"/>
            <w:hideMark/>
          </w:tcPr>
          <w:p w:rsidR="002E45B3" w:rsidRPr="0081338A" w:rsidRDefault="002E45B3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2E45B3" w:rsidRDefault="002E45B3" w:rsidP="00793973">
            <w:pPr>
              <w:ind w:left="135"/>
            </w:pPr>
            <w:r>
              <w:t>23.05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16E1A"/>
    <w:multiLevelType w:val="hybridMultilevel"/>
    <w:tmpl w:val="74BCC48A"/>
    <w:lvl w:ilvl="0" w:tplc="F7CA8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8"/>
  </w:num>
  <w:num w:numId="8">
    <w:abstractNumId w:val="14"/>
  </w:num>
  <w:num w:numId="9">
    <w:abstractNumId w:val="0"/>
  </w:num>
  <w:num w:numId="10">
    <w:abstractNumId w:val="11"/>
  </w:num>
  <w:num w:numId="11">
    <w:abstractNumId w:val="21"/>
  </w:num>
  <w:num w:numId="12">
    <w:abstractNumId w:val="8"/>
  </w:num>
  <w:num w:numId="13">
    <w:abstractNumId w:val="17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20"/>
  </w:num>
  <w:num w:numId="19">
    <w:abstractNumId w:val="3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6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75C5D"/>
    <w:rsid w:val="00085C28"/>
    <w:rsid w:val="000B0D4E"/>
    <w:rsid w:val="000C2C69"/>
    <w:rsid w:val="000E2B9F"/>
    <w:rsid w:val="000E3A6B"/>
    <w:rsid w:val="00136A7D"/>
    <w:rsid w:val="0013742A"/>
    <w:rsid w:val="00161C8A"/>
    <w:rsid w:val="001668DC"/>
    <w:rsid w:val="002061E6"/>
    <w:rsid w:val="002421AF"/>
    <w:rsid w:val="00284933"/>
    <w:rsid w:val="002A0444"/>
    <w:rsid w:val="002A1A95"/>
    <w:rsid w:val="002C0125"/>
    <w:rsid w:val="002E45B3"/>
    <w:rsid w:val="002F004F"/>
    <w:rsid w:val="0037197F"/>
    <w:rsid w:val="0038258D"/>
    <w:rsid w:val="003837C2"/>
    <w:rsid w:val="003C5B13"/>
    <w:rsid w:val="003E4ACB"/>
    <w:rsid w:val="003F4AC7"/>
    <w:rsid w:val="00406479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2083F"/>
    <w:rsid w:val="00655320"/>
    <w:rsid w:val="00663DCC"/>
    <w:rsid w:val="006806D6"/>
    <w:rsid w:val="007151C1"/>
    <w:rsid w:val="00732145"/>
    <w:rsid w:val="00741FD1"/>
    <w:rsid w:val="007543BB"/>
    <w:rsid w:val="007B1E18"/>
    <w:rsid w:val="007E1917"/>
    <w:rsid w:val="007E4FA4"/>
    <w:rsid w:val="008273BB"/>
    <w:rsid w:val="00884D55"/>
    <w:rsid w:val="008B3BF0"/>
    <w:rsid w:val="00943DEC"/>
    <w:rsid w:val="00952A69"/>
    <w:rsid w:val="009F422E"/>
    <w:rsid w:val="00A072BE"/>
    <w:rsid w:val="00A178A1"/>
    <w:rsid w:val="00A76C25"/>
    <w:rsid w:val="00AD62E9"/>
    <w:rsid w:val="00B10DF8"/>
    <w:rsid w:val="00B171AF"/>
    <w:rsid w:val="00B703C6"/>
    <w:rsid w:val="00B93616"/>
    <w:rsid w:val="00BB3454"/>
    <w:rsid w:val="00C20CCB"/>
    <w:rsid w:val="00C74FE3"/>
    <w:rsid w:val="00C80947"/>
    <w:rsid w:val="00C97155"/>
    <w:rsid w:val="00CA7570"/>
    <w:rsid w:val="00CD673F"/>
    <w:rsid w:val="00CE3897"/>
    <w:rsid w:val="00CE579F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5B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5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E45B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a">
    <w:name w:val="Subtitle"/>
    <w:basedOn w:val="a"/>
    <w:next w:val="a"/>
    <w:link w:val="ab"/>
    <w:qFormat/>
    <w:rsid w:val="002E45B3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b">
    <w:name w:val="Подзаголовок Знак"/>
    <w:basedOn w:val="a0"/>
    <w:link w:val="aa"/>
    <w:rsid w:val="002E45B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4</cp:revision>
  <dcterms:created xsi:type="dcterms:W3CDTF">2024-06-10T06:13:00Z</dcterms:created>
  <dcterms:modified xsi:type="dcterms:W3CDTF">2024-06-21T05:54:00Z</dcterms:modified>
</cp:coreProperties>
</file>